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June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06/08/2023</w:t>
      </w:r>
      <w:r>
        <w:rPr/>
        <w:t xml:space="preserve">| </w:t>
      </w:r>
      <w:r>
        <w:rPr/>
        <w:t>06:42pm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Jess Nordai</w:t>
      </w:r>
      <w:r>
        <w:rPr/>
        <w:tab/>
        <w:tab/>
      </w:r>
      <w:r>
        <w:rPr/>
        <w:t>Percy Maple</w:t>
        <w:tab/>
        <w:tab/>
        <w:t xml:space="preserve">Gabe Donar </w:t>
        <w:tab/>
        <w:tab/>
        <w:t>Nicolette Hess</w:t>
        <w:tab/>
        <w:tab/>
        <w:t>Brady Keller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April and May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Percy Maple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6,952.38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MASD </w:t>
      </w:r>
      <w:r>
        <w:rPr/>
        <w:t>over payment</w:t>
      </w:r>
    </w:p>
    <w:p>
      <w:pPr>
        <w:pStyle w:val="Normal"/>
        <w:rPr/>
      </w:pPr>
      <w:r>
        <w:rPr/>
        <w:tab/>
        <w:tab/>
        <w:t xml:space="preserve">Beginning balance </w:t>
      </w:r>
      <w:r>
        <w:rPr/>
        <w:t>(4/1/23): $7,867.15</w:t>
      </w:r>
    </w:p>
    <w:p>
      <w:pPr>
        <w:pStyle w:val="Normal"/>
        <w:rPr/>
      </w:pPr>
      <w:r>
        <w:rPr/>
        <w:tab/>
        <w:tab/>
      </w:r>
      <w:r>
        <w:rPr/>
        <w:t>Payments (April, May): $320.00, $595.00</w:t>
      </w:r>
    </w:p>
    <w:p>
      <w:pPr>
        <w:pStyle w:val="Normal"/>
        <w:rPr/>
      </w:pPr>
      <w:r>
        <w:rPr/>
        <w:tab/>
        <w:tab/>
      </w:r>
      <w:r>
        <w:rPr/>
        <w:t>Deposits (April, May): $0.00,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>First: Gabe Donar</w:t>
        <w:tab/>
        <w:t xml:space="preserve">Second: </w:t>
      </w:r>
      <w:r>
        <w:rPr/>
        <w:t>Brady Keller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Jess Nordai</w:t>
      </w:r>
    </w:p>
    <w:p>
      <w:pPr>
        <w:pStyle w:val="Normal"/>
        <w:rPr/>
      </w:pPr>
      <w:r>
        <w:rPr/>
        <w:tab/>
        <w:t>Approved at League Meeting:</w:t>
      </w:r>
    </w:p>
    <w:p>
      <w:pPr>
        <w:pStyle w:val="Normal"/>
        <w:rPr/>
      </w:pPr>
      <w:r>
        <w:rPr/>
        <w:tab/>
        <w:tab/>
        <w:t>Midget weight limit raised to 170lbs</w:t>
      </w:r>
    </w:p>
    <w:p>
      <w:pPr>
        <w:pStyle w:val="Normal"/>
        <w:rPr/>
      </w:pPr>
      <w:r>
        <w:rPr/>
        <w:tab/>
        <w:tab/>
      </w:r>
      <w:r>
        <w:rPr/>
        <w:t># of new player waivers allowed is based off of % of players you have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numPr>
          <w:ilvl w:val="0"/>
          <w:numId w:val="3"/>
        </w:numPr>
        <w:rPr/>
      </w:pPr>
      <w:r>
        <w:rPr/>
        <w:t>Inventory/organization of shed to be done within next 2-3 weeks</w:t>
      </w:r>
    </w:p>
    <w:p>
      <w:pPr>
        <w:pStyle w:val="Normal"/>
        <w:rPr/>
      </w:pPr>
      <w:r>
        <w:rPr/>
        <w:t xml:space="preserve">Football: </w:t>
      </w:r>
      <w:r>
        <w:rPr/>
        <w:t>All helmets are in</w:t>
      </w:r>
    </w:p>
    <w:p>
      <w:pPr>
        <w:pStyle w:val="Normal"/>
        <w:rPr/>
      </w:pPr>
      <w:r>
        <w:rPr/>
        <w:t xml:space="preserve">Cheerleading: </w:t>
      </w:r>
      <w:r>
        <w:rPr/>
        <w:t>Bows are 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Camp</w:t>
      </w:r>
    </w:p>
    <w:p>
      <w:pPr>
        <w:pStyle w:val="Normal"/>
        <w:rPr/>
      </w:pPr>
      <w:r>
        <w:rPr/>
        <w:tab/>
        <w:t>Cheer – 21, Football – 23</w:t>
      </w:r>
    </w:p>
    <w:p>
      <w:pPr>
        <w:pStyle w:val="Normal"/>
        <w:rPr/>
      </w:pPr>
      <w:r>
        <w:rPr/>
        <w:t>Season</w:t>
      </w:r>
    </w:p>
    <w:p>
      <w:pPr>
        <w:pStyle w:val="Normal"/>
        <w:rPr/>
      </w:pPr>
      <w:r>
        <w:rPr/>
        <w:tab/>
        <w:t xml:space="preserve">Cheer - </w:t>
      </w:r>
      <w:r>
        <w:rPr/>
        <w:t>23</w:t>
      </w:r>
      <w:r>
        <w:rPr/>
        <w:t xml:space="preserve">, Football - </w:t>
      </w:r>
      <w:r>
        <w:rPr/>
        <w:t>29</w:t>
      </w:r>
    </w:p>
    <w:p>
      <w:pPr>
        <w:pStyle w:val="Normal"/>
        <w:rPr/>
      </w:pPr>
      <w:r>
        <w:rPr/>
        <w:t>Yard signs are in</w:t>
      </w:r>
    </w:p>
    <w:p>
      <w:pPr>
        <w:pStyle w:val="Normal"/>
        <w:rPr/>
      </w:pPr>
      <w:r>
        <w:rPr/>
        <w:t>Advertisement can be done in Middletown, Lower Swatara, and Royalton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 xml:space="preserve">Bows, </w:t>
      </w:r>
      <w:r>
        <w:rPr/>
        <w:t>yard signs, and</w:t>
      </w:r>
      <w:r>
        <w:rPr/>
        <w:t xml:space="preserve"> helmets are all in</w:t>
      </w:r>
    </w:p>
    <w:p>
      <w:pPr>
        <w:pStyle w:val="Normal"/>
        <w:rPr/>
      </w:pPr>
      <w:r>
        <w:rPr/>
        <w:t>Still accepting coaching staff</w:t>
      </w:r>
    </w:p>
    <w:p>
      <w:pPr>
        <w:pStyle w:val="Normal"/>
        <w:rPr/>
      </w:pPr>
      <w:r>
        <w:rPr/>
        <w:t>Update Code of Conducts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Season schedule is set with BYE Week for Homecoming</w:t>
      </w:r>
    </w:p>
    <w:p>
      <w:pPr>
        <w:pStyle w:val="Normal"/>
        <w:rPr/>
      </w:pPr>
      <w:r>
        <w:rPr/>
        <w:tab/>
        <w:tab/>
      </w:r>
      <w:r>
        <w:rPr/>
        <w:t>Home Games – 4 , Away Games – 4</w:t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Games as follows: H, H, A, A, H, B, H, A</w:t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Field reservations to be made</w:t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Concession preparation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Blue Raiders Game Day </w:t>
      </w:r>
      <w:r>
        <w:rPr>
          <w:i w:val="false"/>
          <w:iCs w:val="false"/>
        </w:rPr>
        <w:t>Programs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$275 includes full page ad and mention on loud speaker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ab/>
        <w:tab/>
        <w:t>Motion accepted = Gabe Donar, Brady Keller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Earn flat rate check for SSE for volunteering for concessions, 50/50 ticket raffles, etc for Middletown home games on Fridays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Chastity is working with Katelyn for cheer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ab/>
        <w:t>Camps are scheduled different weeks to allow for HS Cheer to work with both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Car wash fundraisers, email to be sent out with details once determined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No shirts for camp this year, order water bottles instead – sell extras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Parents Day will also be Pink Out – 10/14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Address cheer uniforms, order more if necessary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</w:t>
      </w:r>
      <w:r>
        <w:rPr/>
        <w:t>7</w:t>
      </w:r>
      <w:r>
        <w:rPr/>
        <w:t>/</w:t>
      </w:r>
      <w:r>
        <w:rPr/>
        <w:t>13</w:t>
      </w:r>
      <w:r>
        <w:rPr/>
        <w:t>/2023 at 6:30pm at The Blue Room</w:t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</w:t>
      </w:r>
      <w:r>
        <w:rPr>
          <w:u w:val="single"/>
        </w:rPr>
        <w:t>23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>: Jess Nordai</w:t>
        <w:tab/>
        <w:t xml:space="preserve">Second: </w:t>
      </w:r>
      <w:r>
        <w:rPr/>
        <w:t>Nicolette Hess</w:t>
      </w:r>
    </w:p>
    <w:sectPr>
      <w:type w:val="nextPage"/>
      <w:pgSz w:w="12240" w:h="15840"/>
      <w:pgMar w:left="990" w:right="108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218</TotalTime>
  <Application>Neat_Office/6.2.8.2$Windows_x86 LibreOffice_project/</Application>
  <Pages>2</Pages>
  <Words>349</Words>
  <CharactersWithSpaces>2103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2023-07-09T20:37:10Z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